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BC15E" w14:textId="77777777" w:rsidR="00F721B7" w:rsidRDefault="000D4D2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华东师范大学本科生毕业论文（设计）开题报告</w:t>
      </w:r>
    </w:p>
    <w:tbl>
      <w:tblPr>
        <w:tblStyle w:val="a5"/>
        <w:tblpPr w:leftFromText="180" w:rightFromText="180" w:vertAnchor="text" w:horzAnchor="page" w:tblpX="1337" w:tblpY="370"/>
        <w:tblOverlap w:val="never"/>
        <w:tblW w:w="9761" w:type="dxa"/>
        <w:tblLayout w:type="fixed"/>
        <w:tblLook w:val="04A0" w:firstRow="1" w:lastRow="0" w:firstColumn="1" w:lastColumn="0" w:noHBand="0" w:noVBand="1"/>
      </w:tblPr>
      <w:tblGrid>
        <w:gridCol w:w="1305"/>
        <w:gridCol w:w="317"/>
        <w:gridCol w:w="73"/>
        <w:gridCol w:w="1800"/>
        <w:gridCol w:w="180"/>
        <w:gridCol w:w="825"/>
        <w:gridCol w:w="225"/>
        <w:gridCol w:w="210"/>
        <w:gridCol w:w="1020"/>
        <w:gridCol w:w="180"/>
        <w:gridCol w:w="1020"/>
        <w:gridCol w:w="150"/>
        <w:gridCol w:w="90"/>
        <w:gridCol w:w="540"/>
        <w:gridCol w:w="165"/>
        <w:gridCol w:w="270"/>
        <w:gridCol w:w="1050"/>
        <w:gridCol w:w="15"/>
        <w:gridCol w:w="300"/>
        <w:gridCol w:w="26"/>
      </w:tblGrid>
      <w:tr w:rsidR="00F721B7" w14:paraId="6CD79C44" w14:textId="77777777" w:rsidTr="00F419E7">
        <w:trPr>
          <w:gridAfter w:val="1"/>
          <w:wAfter w:w="26" w:type="dxa"/>
          <w:trHeight w:val="843"/>
        </w:trPr>
        <w:tc>
          <w:tcPr>
            <w:tcW w:w="1305" w:type="dxa"/>
            <w:vMerge w:val="restart"/>
            <w:vAlign w:val="center"/>
          </w:tcPr>
          <w:p w14:paraId="7D36100E" w14:textId="77777777" w:rsidR="00F721B7" w:rsidRDefault="000D4D2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论文题目</w:t>
            </w:r>
          </w:p>
        </w:tc>
        <w:tc>
          <w:tcPr>
            <w:tcW w:w="3420" w:type="dxa"/>
            <w:gridSpan w:val="6"/>
            <w:vMerge w:val="restart"/>
            <w:vAlign w:val="center"/>
          </w:tcPr>
          <w:p w14:paraId="1E12F248" w14:textId="77777777" w:rsidR="00F721B7" w:rsidRPr="00D16A5C" w:rsidRDefault="00C05C8E" w:rsidP="00C05C8E">
            <w:pPr>
              <w:spacing w:before="240"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  <w:r w:rsidRPr="00D16A5C">
              <w:rPr>
                <w:rFonts w:hint="eastAsia"/>
                <w:sz w:val="24"/>
              </w:rPr>
              <w:t>施鸿保对《杜诗详注》的</w:t>
            </w:r>
            <w:r>
              <w:rPr>
                <w:rFonts w:hint="eastAsia"/>
                <w:sz w:val="24"/>
              </w:rPr>
              <w:t>辨析与纠误</w:t>
            </w:r>
            <w:r w:rsidR="00D16A5C">
              <w:rPr>
                <w:rFonts w:hint="eastAsia"/>
                <w:sz w:val="24"/>
              </w:rPr>
              <w:t>——</w:t>
            </w:r>
            <w:r>
              <w:rPr>
                <w:rFonts w:hint="eastAsia"/>
                <w:sz w:val="24"/>
              </w:rPr>
              <w:t>以读者反应批评为</w:t>
            </w:r>
            <w:r>
              <w:rPr>
                <w:rFonts w:ascii="Damascus" w:hAnsi="Damascus" w:cs="Damascus" w:hint="eastAsia"/>
                <w:sz w:val="24"/>
              </w:rPr>
              <w:t>理论工具</w:t>
            </w:r>
          </w:p>
        </w:tc>
        <w:tc>
          <w:tcPr>
            <w:tcW w:w="2430" w:type="dxa"/>
            <w:gridSpan w:val="4"/>
            <w:vAlign w:val="center"/>
          </w:tcPr>
          <w:p w14:paraId="57E57E1C" w14:textId="77777777" w:rsidR="00F721B7" w:rsidRDefault="00D16A5C" w:rsidP="00D16A5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中国语言文学</w:t>
            </w:r>
            <w:r w:rsidR="000D4D29">
              <w:rPr>
                <w:rFonts w:hint="eastAsia"/>
                <w:bCs/>
                <w:sz w:val="24"/>
              </w:rPr>
              <w:t>系</w:t>
            </w:r>
          </w:p>
        </w:tc>
        <w:tc>
          <w:tcPr>
            <w:tcW w:w="2580" w:type="dxa"/>
            <w:gridSpan w:val="8"/>
            <w:vAlign w:val="center"/>
          </w:tcPr>
          <w:p w14:paraId="1A23DCBA" w14:textId="45D81BB5" w:rsidR="00F721B7" w:rsidRDefault="00D16A5C" w:rsidP="00D16A5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汉语言文学</w:t>
            </w:r>
            <w:bookmarkStart w:id="0" w:name="_GoBack"/>
            <w:bookmarkEnd w:id="0"/>
          </w:p>
        </w:tc>
      </w:tr>
      <w:tr w:rsidR="00F721B7" w14:paraId="13B3BD67" w14:textId="77777777">
        <w:trPr>
          <w:gridAfter w:val="1"/>
          <w:wAfter w:w="26" w:type="dxa"/>
          <w:trHeight w:val="461"/>
        </w:trPr>
        <w:tc>
          <w:tcPr>
            <w:tcW w:w="1305" w:type="dxa"/>
            <w:vMerge/>
            <w:vAlign w:val="center"/>
          </w:tcPr>
          <w:p w14:paraId="2692CE99" w14:textId="77777777" w:rsidR="00F721B7" w:rsidRDefault="00F721B7">
            <w:pPr>
              <w:jc w:val="center"/>
              <w:rPr>
                <w:b/>
                <w:sz w:val="24"/>
              </w:rPr>
            </w:pPr>
          </w:p>
        </w:tc>
        <w:tc>
          <w:tcPr>
            <w:tcW w:w="3420" w:type="dxa"/>
            <w:gridSpan w:val="6"/>
            <w:vMerge/>
            <w:vAlign w:val="center"/>
          </w:tcPr>
          <w:p w14:paraId="690C7AA7" w14:textId="77777777" w:rsidR="00F721B7" w:rsidRDefault="00F721B7">
            <w:pPr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1ECA45EA" w14:textId="77777777" w:rsidR="00F721B7" w:rsidRDefault="000D4D2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学生姓名</w:t>
            </w:r>
          </w:p>
        </w:tc>
        <w:tc>
          <w:tcPr>
            <w:tcW w:w="1200" w:type="dxa"/>
            <w:gridSpan w:val="2"/>
            <w:vAlign w:val="center"/>
          </w:tcPr>
          <w:p w14:paraId="50E8F567" w14:textId="17C0B81E" w:rsidR="00F721B7" w:rsidRDefault="00F721B7">
            <w:pPr>
              <w:jc w:val="center"/>
              <w:rPr>
                <w:bCs/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141B50A1" w14:textId="77777777" w:rsidR="00F721B7" w:rsidRDefault="000D4D2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1800" w:type="dxa"/>
            <w:gridSpan w:val="5"/>
            <w:vAlign w:val="center"/>
          </w:tcPr>
          <w:p w14:paraId="76F0ECA7" w14:textId="2423C18B" w:rsidR="00F721B7" w:rsidRDefault="00F721B7">
            <w:pPr>
              <w:jc w:val="center"/>
              <w:rPr>
                <w:bCs/>
                <w:sz w:val="24"/>
              </w:rPr>
            </w:pPr>
          </w:p>
        </w:tc>
      </w:tr>
      <w:tr w:rsidR="00F721B7" w14:paraId="5229BEB0" w14:textId="77777777">
        <w:trPr>
          <w:gridAfter w:val="1"/>
          <w:wAfter w:w="26" w:type="dxa"/>
          <w:trHeight w:val="473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7175E046" w14:textId="77777777" w:rsidR="00F721B7" w:rsidRDefault="000D4D29">
            <w:pPr>
              <w:rPr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一、选题的背景与意义</w:t>
            </w:r>
          </w:p>
        </w:tc>
      </w:tr>
      <w:tr w:rsidR="00F721B7" w14:paraId="53742394" w14:textId="77777777">
        <w:trPr>
          <w:gridAfter w:val="1"/>
          <w:wAfter w:w="26" w:type="dxa"/>
          <w:trHeight w:val="5528"/>
        </w:trPr>
        <w:tc>
          <w:tcPr>
            <w:tcW w:w="9735" w:type="dxa"/>
            <w:gridSpan w:val="19"/>
            <w:tcBorders>
              <w:top w:val="dotted" w:sz="4" w:space="0" w:color="auto"/>
            </w:tcBorders>
          </w:tcPr>
          <w:p w14:paraId="26853716" w14:textId="77777777" w:rsidR="00D16A5C" w:rsidRPr="00F419E7" w:rsidRDefault="00D16A5C" w:rsidP="00C05C8E">
            <w:pPr>
              <w:spacing w:beforeLines="50" w:before="120" w:line="360" w:lineRule="auto"/>
              <w:rPr>
                <w:rFonts w:asciiTheme="minorEastAsia" w:hAnsiTheme="minorEastAsia"/>
                <w:b/>
                <w:bCs/>
                <w:sz w:val="24"/>
              </w:rPr>
            </w:pPr>
            <w:r w:rsidRPr="00D16A5C">
              <w:rPr>
                <w:rFonts w:asciiTheme="minorEastAsia" w:hAnsiTheme="minorEastAsia" w:hint="eastAsia"/>
                <w:b/>
                <w:bCs/>
                <w:sz w:val="24"/>
              </w:rPr>
              <w:t>（一</w:t>
            </w:r>
            <w:r w:rsidRPr="00D16A5C">
              <w:rPr>
                <w:rFonts w:asciiTheme="minorEastAsia" w:hAnsiTheme="minorEastAsia" w:cs="Times New Roman" w:hint="eastAsia"/>
                <w:b/>
                <w:bCs/>
                <w:sz w:val="24"/>
              </w:rPr>
              <w:t>）</w:t>
            </w:r>
            <w:r w:rsidRPr="00D16A5C">
              <w:rPr>
                <w:rFonts w:asciiTheme="minorEastAsia" w:hAnsiTheme="minorEastAsia" w:hint="eastAsia"/>
                <w:b/>
                <w:bCs/>
                <w:sz w:val="24"/>
              </w:rPr>
              <w:t>选题背景</w:t>
            </w:r>
          </w:p>
          <w:p w14:paraId="5F9F15F7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国内外学界对《读杜诗说》的研究寥寥无几。张慧剑先生在校订《读杜诗说》时，曾为本书写过序言：《关于&lt;读杜诗说&gt;》。序言中，他指出《读杜诗说》是一部“专对仇兆鳌的《杜诗详注》纠误的书”，主要有如下几个特点：</w:t>
            </w:r>
          </w:p>
          <w:p w14:paraId="751A8FCD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其一在于“著者是以‘实事求是</w:t>
            </w:r>
            <w:r w:rsidR="00F419E7">
              <w:rPr>
                <w:rFonts w:asciiTheme="minorEastAsia" w:hAnsiTheme="minorEastAsia" w:cs="Times New Roman" w:hint="eastAsia"/>
                <w:bCs/>
                <w:sz w:val="24"/>
              </w:rPr>
              <w:t>’的治学态度治杜的，他要求</w:t>
            </w:r>
            <w:proofErr w:type="gramStart"/>
            <w:r w:rsidR="00F419E7">
              <w:rPr>
                <w:rFonts w:asciiTheme="minorEastAsia" w:hAnsiTheme="minorEastAsia" w:cs="Times New Roman" w:hint="eastAsia"/>
                <w:bCs/>
                <w:sz w:val="24"/>
              </w:rPr>
              <w:t>适</w:t>
            </w:r>
            <w:proofErr w:type="gramEnd"/>
            <w:r w:rsidR="00F419E7">
              <w:rPr>
                <w:rFonts w:asciiTheme="minorEastAsia" w:hAnsiTheme="minorEastAsia" w:cs="Times New Roman" w:hint="eastAsia"/>
                <w:bCs/>
                <w:sz w:val="24"/>
              </w:rPr>
              <w:t>如其分地注释杜诗，不赞成穿凿。”</w:t>
            </w: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因此，在这本书中，“对仇书诸家注释所做的诘难……大都是由反对穿凿而起的。”</w:t>
            </w:r>
          </w:p>
          <w:p w14:paraId="170B9AF8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其二，“他不赞成用织巧的格律说来说杜”，对于“注家因回护杜诗的某些误失而曲为之解的做法，他也不赞成。”</w:t>
            </w:r>
          </w:p>
          <w:p w14:paraId="3344DA5C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其三，字词的训释方面，施鸿保“讲得具体，对诸家驳难时，同时也自立一解”，“有时并广引杜甫本人的诗句来解释杜诗……以此为据，自然较具体，也较显得有力。”难能可贵的是，施鸿保“对于自己所作的一些与旧注歧异的解释，也并不是完全自以为是，有多处释语加有‘疑’、‘疑即’、‘疑当作’一类的字面，说明著者对此还是采取了慎重将事的态度的。”</w:t>
            </w:r>
          </w:p>
          <w:p w14:paraId="7379D316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总体来说，张慧剑对于《读杜诗说》给出了一个较高的评价，关切到了注者在注疏过程中的一些难得之处。我们可以看到，施鸿保在《读杜诗说》中基于自身的学识和对杜诗的理解，提出了很多独到的见解，值得我们借鉴并且进行反思和审视。</w:t>
            </w:r>
          </w:p>
          <w:p w14:paraId="23A3E0C4" w14:textId="77777777" w:rsidR="00C93216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</w:rPr>
              <w:t>本论文</w:t>
            </w: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拟选取读者反应批评理论作为《读杜诗说》与《杜诗详注》比较阅读的理论工具。读者反应批评理论是新批评的一种。它吸收了接受美学、解构主义和精神分析学的部分主张，强调文本的意义在于文本的字词在读者的大脑中产生的反应痕迹，关注读者对于作品的解读，而非作者创作的初衷，自提出之后广泛地应用于文学批评领域。但是从这个角度来审视中国古代诗歌笺注传统，在目前的国内外学界研究中所用不多，希望这个</w:t>
            </w:r>
            <w:r>
              <w:rPr>
                <w:rFonts w:asciiTheme="minorEastAsia" w:hAnsiTheme="minorEastAsia" w:cs="Times New Roman" w:hint="eastAsia"/>
                <w:bCs/>
                <w:sz w:val="24"/>
              </w:rPr>
              <w:t>论文</w:t>
            </w: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的研究过程与结论可以为以后的研究提供一点参考。</w:t>
            </w:r>
          </w:p>
          <w:p w14:paraId="60F276B9" w14:textId="77777777" w:rsidR="002A583E" w:rsidRPr="002A583E" w:rsidRDefault="002A583E" w:rsidP="00C05C8E">
            <w:pPr>
              <w:spacing w:beforeLines="50" w:before="120" w:line="360" w:lineRule="auto"/>
              <w:rPr>
                <w:rFonts w:asciiTheme="minorEastAsia" w:hAnsiTheme="minorEastAsia" w:cs="Times New Roman"/>
                <w:bCs/>
                <w:sz w:val="24"/>
              </w:rPr>
            </w:pPr>
          </w:p>
          <w:p w14:paraId="50C187E6" w14:textId="77777777" w:rsidR="00D16A5C" w:rsidRPr="00D16A5C" w:rsidRDefault="00D16A5C" w:rsidP="00C05C8E">
            <w:pPr>
              <w:spacing w:beforeLines="50" w:before="120"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 w:rsidRPr="00D16A5C">
              <w:rPr>
                <w:rFonts w:asciiTheme="minorEastAsia" w:hAnsiTheme="minorEastAsia" w:hint="eastAsia"/>
                <w:b/>
                <w:bCs/>
                <w:sz w:val="24"/>
              </w:rPr>
              <w:t>（二）选题意义</w:t>
            </w:r>
          </w:p>
          <w:p w14:paraId="2B876397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1、对施鸿保《读杜诗说》</w:t>
            </w:r>
            <w:r>
              <w:rPr>
                <w:rFonts w:asciiTheme="minorEastAsia" w:hAnsiTheme="minorEastAsia" w:cs="Times New Roman" w:hint="eastAsia"/>
                <w:bCs/>
                <w:sz w:val="24"/>
              </w:rPr>
              <w:t>的研究在国内外学界，少有人涉猎。本论文</w:t>
            </w: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关注《读杜诗说》自身研究，包括注疏体例</w:t>
            </w:r>
            <w:r w:rsidR="00362F03">
              <w:rPr>
                <w:rFonts w:asciiTheme="minorEastAsia" w:hAnsiTheme="minorEastAsia" w:cs="Times New Roman" w:hint="eastAsia"/>
                <w:bCs/>
                <w:sz w:val="24"/>
              </w:rPr>
              <w:t>、注释内容</w:t>
            </w: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等方面，集中展现施鸿保</w:t>
            </w:r>
            <w:proofErr w:type="gramStart"/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注杜过程</w:t>
            </w:r>
            <w:proofErr w:type="gramEnd"/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中体现出的特点和价值，为杜甫诗歌的研究提供一些多元的解读可能与训诂依据，为后来学者的研究做一点基本、浅显的工作。</w:t>
            </w:r>
          </w:p>
          <w:p w14:paraId="040453F4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2、《读杜诗说》与《杜诗详注》两本读者之书各有其贡献与不足。他们之间的补充和对照，能够更加全面地揭示出到杜诗的意涵，反映杜诗在诗歌史上的意义与价值；除此之外，两个不同注家的注本在注疏体例、内容等方面的异同，可以总结出中国古代诗歌笺注的一些基本特点。</w:t>
            </w:r>
          </w:p>
          <w:p w14:paraId="35155EAE" w14:textId="77777777" w:rsidR="00F721B7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3、以读者反应批评理论为理论工具，把《杜诗详注》与《读杜诗说》两本注本作为研究的中心，关注不同注家的读者意识，对杜诗读者与杜诗本身、其他读者、作者杜甫本人之间的关系进行讨论，从一个不同的角度对中国古代诗歌笺注传统进行审视，能够为后人的研究提供一点新思路。</w:t>
            </w:r>
            <w:r w:rsidRPr="00D16A5C">
              <w:rPr>
                <w:rFonts w:asciiTheme="minorEastAsia" w:hAnsiTheme="minorEastAsia" w:cs="Times New Roman"/>
                <w:bCs/>
                <w:sz w:val="24"/>
              </w:rPr>
              <w:t xml:space="preserve"> </w:t>
            </w:r>
          </w:p>
          <w:p w14:paraId="0FDE050B" w14:textId="77777777" w:rsidR="00F721B7" w:rsidRPr="00D16A5C" w:rsidRDefault="00F721B7">
            <w:pPr>
              <w:rPr>
                <w:rFonts w:asciiTheme="minorEastAsia" w:hAnsiTheme="minorEastAsia"/>
                <w:bCs/>
                <w:sz w:val="24"/>
              </w:rPr>
            </w:pPr>
          </w:p>
        </w:tc>
      </w:tr>
      <w:tr w:rsidR="00F721B7" w14:paraId="0B5E2CF1" w14:textId="77777777">
        <w:trPr>
          <w:gridAfter w:val="1"/>
          <w:wAfter w:w="26" w:type="dxa"/>
          <w:trHeight w:val="487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2985C187" w14:textId="77777777" w:rsidR="00F721B7" w:rsidRDefault="000D4D2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lastRenderedPageBreak/>
              <w:t>二、研究的主要内容和预期目标</w:t>
            </w:r>
          </w:p>
        </w:tc>
      </w:tr>
      <w:tr w:rsidR="00F721B7" w:rsidRPr="00D16A5C" w14:paraId="6F9A97DD" w14:textId="77777777">
        <w:trPr>
          <w:gridAfter w:val="1"/>
          <w:wAfter w:w="26" w:type="dxa"/>
          <w:trHeight w:val="5613"/>
        </w:trPr>
        <w:tc>
          <w:tcPr>
            <w:tcW w:w="9735" w:type="dxa"/>
            <w:gridSpan w:val="19"/>
            <w:tcBorders>
              <w:top w:val="dotted" w:sz="4" w:space="0" w:color="auto"/>
            </w:tcBorders>
          </w:tcPr>
          <w:p w14:paraId="36EEC54F" w14:textId="77777777" w:rsidR="00C93216" w:rsidRDefault="00C93216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</w:p>
          <w:p w14:paraId="0114448A" w14:textId="77777777" w:rsidR="00D16A5C" w:rsidRPr="00D16A5C" w:rsidRDefault="00D16A5C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（一）研究内容</w:t>
            </w:r>
          </w:p>
          <w:p w14:paraId="019617A3" w14:textId="77777777" w:rsidR="00D16A5C" w:rsidRPr="00D16A5C" w:rsidRDefault="00D16A5C" w:rsidP="00D16A5C">
            <w:pPr>
              <w:pStyle w:val="Default"/>
              <w:spacing w:line="360" w:lineRule="auto"/>
              <w:ind w:firstLineChars="200" w:firstLine="480"/>
              <w:rPr>
                <w:rFonts w:asciiTheme="minorEastAsia" w:eastAsiaTheme="minorEastAsia" w:hAnsiTheme="minorEastAsia" w:cs="Times New Roman"/>
                <w:bCs/>
                <w:color w:val="auto"/>
                <w:kern w:val="2"/>
                <w:szCs w:val="20"/>
              </w:rPr>
            </w:pPr>
            <w:r w:rsidRPr="00D16A5C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本论文分三个层面展开，包括了:</w:t>
            </w:r>
          </w:p>
          <w:p w14:paraId="76156FDA" w14:textId="77777777" w:rsidR="00D16A5C" w:rsidRPr="00D16A5C" w:rsidRDefault="00D16A5C" w:rsidP="00D16A5C">
            <w:pPr>
              <w:pStyle w:val="Default"/>
              <w:tabs>
                <w:tab w:val="left" w:pos="6267"/>
              </w:tabs>
              <w:spacing w:line="360" w:lineRule="auto"/>
              <w:ind w:firstLineChars="200" w:firstLine="480"/>
              <w:rPr>
                <w:rFonts w:asciiTheme="minorEastAsia" w:eastAsiaTheme="minorEastAsia" w:hAnsiTheme="minorEastAsia" w:cs="Times New Roman"/>
                <w:bCs/>
                <w:color w:val="auto"/>
                <w:kern w:val="2"/>
                <w:szCs w:val="20"/>
              </w:rPr>
            </w:pPr>
            <w:r w:rsidRPr="00D16A5C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1</w:t>
            </w:r>
            <w:r w:rsidR="00362F03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、第一层面基于对《读杜诗说》的全面考察，研究</w:t>
            </w:r>
            <w:r w:rsidRPr="00D16A5C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注疏内容、</w:t>
            </w:r>
            <w:r w:rsidRPr="00D16A5C">
              <w:rPr>
                <w:rFonts w:asciiTheme="minorEastAsia" w:eastAsiaTheme="minorEastAsia" w:hAnsiTheme="minorEastAsia" w:hint="eastAsia"/>
                <w:bCs/>
              </w:rPr>
              <w:t>注疏体例等方面，总结施鸿保</w:t>
            </w:r>
            <w:proofErr w:type="gramStart"/>
            <w:r w:rsidRPr="00D16A5C">
              <w:rPr>
                <w:rFonts w:asciiTheme="minorEastAsia" w:eastAsiaTheme="minorEastAsia" w:hAnsiTheme="minorEastAsia" w:hint="eastAsia"/>
                <w:bCs/>
              </w:rPr>
              <w:t>注杜过程</w:t>
            </w:r>
            <w:proofErr w:type="gramEnd"/>
            <w:r w:rsidRPr="00D16A5C">
              <w:rPr>
                <w:rFonts w:asciiTheme="minorEastAsia" w:eastAsiaTheme="minorEastAsia" w:hAnsiTheme="minorEastAsia" w:hint="eastAsia"/>
                <w:bCs/>
              </w:rPr>
              <w:t>中体现出的注疏特点，</w:t>
            </w:r>
            <w:r w:rsidRPr="00D16A5C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 xml:space="preserve"> </w:t>
            </w:r>
          </w:p>
          <w:p w14:paraId="2F70E6E8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2、第二层面关注《读杜诗说》与《杜诗详注》的比较阅读。两本读者之书之间贡献与不足的补充对照，可增进对于杜甫诗歌的理解，探索杜诗的基本特点，体会杜诗在文学史上的价值和地位。除此之外，研究两个不同注家的注本在注疏体例、内容等方面的异同，能反映中国古代诗歌笺注的一些基本特点。</w:t>
            </w:r>
          </w:p>
          <w:p w14:paraId="19572262" w14:textId="77777777" w:rsidR="00C93216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3、本论文研究的第三个层面以读者反应批评理论为理论工具，《杜诗详注》与《读杜诗说》两本注本作为研究的中心，对杜诗读者与杜诗本身、其他读者、作者杜甫之间的关系进行讨论。并从这个角度审视中国古代诗歌笺注传统，可以帮助学界更好地反思这一传统。</w:t>
            </w:r>
          </w:p>
          <w:p w14:paraId="3ECEC3BF" w14:textId="77777777" w:rsidR="00C93216" w:rsidRPr="00C93216" w:rsidRDefault="00C93216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</w:p>
          <w:p w14:paraId="1D384E6E" w14:textId="77777777" w:rsidR="00D16A5C" w:rsidRPr="00D16A5C" w:rsidRDefault="00F419E7" w:rsidP="00C05C8E">
            <w:pPr>
              <w:spacing w:beforeLines="50" w:before="120"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（二</w:t>
            </w:r>
            <w:r w:rsidR="00D16A5C" w:rsidRPr="00D16A5C">
              <w:rPr>
                <w:rFonts w:asciiTheme="minorEastAsia" w:hAnsiTheme="minorEastAsia" w:cs="Times New Roman" w:hint="eastAsia"/>
                <w:b/>
                <w:bCs/>
                <w:sz w:val="24"/>
              </w:rPr>
              <w:t>）</w:t>
            </w:r>
            <w:r>
              <w:rPr>
                <w:rFonts w:asciiTheme="minorEastAsia" w:hAnsiTheme="minorEastAsia" w:cs="Times New Roman" w:hint="eastAsia"/>
                <w:b/>
                <w:bCs/>
                <w:sz w:val="24"/>
              </w:rPr>
              <w:t>预期目标</w:t>
            </w:r>
          </w:p>
          <w:p w14:paraId="142595D9" w14:textId="77777777" w:rsidR="00D16A5C" w:rsidRPr="00D16A5C" w:rsidRDefault="00D16A5C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D16A5C">
              <w:rPr>
                <w:rFonts w:asciiTheme="minorEastAsia" w:hAnsiTheme="minorEastAsia" w:cs="Times New Roman" w:hint="eastAsia"/>
                <w:bCs/>
                <w:sz w:val="24"/>
              </w:rPr>
              <w:t>本论文将在全面考察《读杜诗说》的基础之上，将《读杜诗说》和《杜诗详注》进行比较阅读，研究不同注者在注疏体例、编辑体例和注疏原则等方面的异同，分析不同注者的注疏特点，据此探索杜诗的基本特点，增进对于杜甫诗歌的理解，体会杜诗在文学史上的价值和地位。</w:t>
            </w:r>
          </w:p>
          <w:p w14:paraId="00F26F0B" w14:textId="77777777" w:rsidR="00F419E7" w:rsidRPr="00F419E7" w:rsidRDefault="00362F03" w:rsidP="00C05C8E">
            <w:pPr>
              <w:spacing w:beforeLines="50" w:before="120"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</w:rPr>
              <w:t>又</w:t>
            </w:r>
            <w:r w:rsidR="00D16A5C" w:rsidRPr="00D16A5C">
              <w:rPr>
                <w:rFonts w:asciiTheme="minorEastAsia" w:hAnsiTheme="minorEastAsia" w:cs="Times New Roman" w:hint="eastAsia"/>
                <w:bCs/>
                <w:sz w:val="24"/>
              </w:rPr>
              <w:t>因为《读杜诗说》和《杜诗详注》都是读者之书，反映出的都是若干读者，尤其是施鸿保和仇兆鳌两位读者，对杜诗的理解和体悟；因此选择读者反应批评作为进一步研究的理论工具，在比较阅读研究的基础之上，从两者的异同出发以小见大，以西方文学批评的视角审视中国古代诗歌笺注的传统，以期有所感悟与发现。</w:t>
            </w:r>
          </w:p>
        </w:tc>
      </w:tr>
      <w:tr w:rsidR="00F721B7" w14:paraId="3D3E988F" w14:textId="77777777">
        <w:trPr>
          <w:gridAfter w:val="1"/>
          <w:wAfter w:w="26" w:type="dxa"/>
          <w:trHeight w:val="486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18C0F333" w14:textId="77777777" w:rsidR="00F721B7" w:rsidRDefault="000D4D2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lastRenderedPageBreak/>
              <w:t>三、拟采用的</w:t>
            </w:r>
            <w:r>
              <w:rPr>
                <w:rFonts w:hint="eastAsia"/>
                <w:b/>
                <w:bCs/>
                <w:sz w:val="24"/>
              </w:rPr>
              <w:t>研究</w:t>
            </w:r>
            <w:r>
              <w:rPr>
                <w:b/>
                <w:bCs/>
                <w:sz w:val="24"/>
              </w:rPr>
              <w:t>方法、</w:t>
            </w:r>
            <w:r>
              <w:rPr>
                <w:rFonts w:hint="eastAsia"/>
                <w:b/>
                <w:bCs/>
                <w:sz w:val="24"/>
              </w:rPr>
              <w:t>步骤</w:t>
            </w:r>
          </w:p>
        </w:tc>
      </w:tr>
      <w:tr w:rsidR="00F721B7" w14:paraId="319F0EBC" w14:textId="77777777">
        <w:trPr>
          <w:gridAfter w:val="1"/>
          <w:wAfter w:w="26" w:type="dxa"/>
          <w:trHeight w:val="3601"/>
        </w:trPr>
        <w:tc>
          <w:tcPr>
            <w:tcW w:w="9735" w:type="dxa"/>
            <w:gridSpan w:val="19"/>
            <w:tcBorders>
              <w:top w:val="dotted" w:sz="4" w:space="0" w:color="auto"/>
            </w:tcBorders>
          </w:tcPr>
          <w:p w14:paraId="256F8629" w14:textId="77777777" w:rsidR="00F419E7" w:rsidRDefault="00F419E7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</w:p>
          <w:p w14:paraId="427A8F10" w14:textId="77777777" w:rsidR="00D16A5C" w:rsidRPr="00F419E7" w:rsidRDefault="00F419E7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（一</w:t>
            </w:r>
            <w:r w:rsidR="00D16A5C" w:rsidRPr="00F419E7">
              <w:rPr>
                <w:rFonts w:asciiTheme="minorEastAsia" w:hAnsiTheme="minorEastAsia" w:cs="Times New Roman" w:hint="eastAsia"/>
                <w:b/>
                <w:bCs/>
                <w:sz w:val="24"/>
              </w:rPr>
              <w:t>）研究方法</w:t>
            </w:r>
          </w:p>
          <w:p w14:paraId="72CF2D2E" w14:textId="77777777" w:rsidR="00D16A5C" w:rsidRPr="00F419E7" w:rsidRDefault="00D16A5C" w:rsidP="00D16A5C">
            <w:pPr>
              <w:spacing w:line="360" w:lineRule="auto"/>
              <w:ind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主要有文献研究法、比较研究法、定量分析法和定性分析法等方法：</w:t>
            </w:r>
          </w:p>
          <w:p w14:paraId="11052BC9" w14:textId="77777777" w:rsidR="00D16A5C" w:rsidRPr="00F419E7" w:rsidRDefault="00D16A5C" w:rsidP="00D16A5C">
            <w:pPr>
              <w:spacing w:line="360" w:lineRule="auto"/>
              <w:ind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1、文献研究法：用以帮助选题；调查不同版本的杜诗、杜注；纵向了解诗歌笺注的发展等；</w:t>
            </w:r>
          </w:p>
          <w:p w14:paraId="0E6D6B0E" w14:textId="77777777" w:rsidR="00D16A5C" w:rsidRPr="00F419E7" w:rsidRDefault="00D16A5C" w:rsidP="00D16A5C">
            <w:pPr>
              <w:spacing w:line="360" w:lineRule="auto"/>
              <w:ind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2、比较研究法：将《读杜诗说》与《杜诗详注》进行比较，研究两者异同，关注产生差异的原因；同时将不同时期的杜</w:t>
            </w:r>
            <w:proofErr w:type="gramStart"/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注进行</w:t>
            </w:r>
            <w:proofErr w:type="gramEnd"/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比较，以了解杜诗笺注的历史发展；</w:t>
            </w:r>
          </w:p>
          <w:p w14:paraId="16B0B1EF" w14:textId="77777777" w:rsidR="00D16A5C" w:rsidRDefault="00D16A5C" w:rsidP="00D16A5C">
            <w:pPr>
              <w:spacing w:line="360" w:lineRule="auto"/>
              <w:ind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3、定量和定性分析法：用以细化、精</w:t>
            </w:r>
            <w:r w:rsidR="00F419E7">
              <w:rPr>
                <w:rFonts w:asciiTheme="minorEastAsia" w:hAnsiTheme="minorEastAsia" w:cs="Times New Roman" w:hint="eastAsia"/>
                <w:bCs/>
                <w:sz w:val="24"/>
              </w:rPr>
              <w:t>确整理注疏内容与体例，同时归纳总结研究成果，并对其进行综合分析。</w:t>
            </w:r>
          </w:p>
          <w:p w14:paraId="13A6D9FF" w14:textId="77777777" w:rsidR="00362F03" w:rsidRPr="00F419E7" w:rsidRDefault="00362F03" w:rsidP="00D16A5C">
            <w:pPr>
              <w:spacing w:line="360" w:lineRule="auto"/>
              <w:ind w:firstLine="480"/>
              <w:rPr>
                <w:rFonts w:asciiTheme="minorEastAsia" w:hAnsiTheme="minorEastAsia" w:cs="Times New Roman"/>
                <w:bCs/>
                <w:sz w:val="24"/>
              </w:rPr>
            </w:pPr>
          </w:p>
          <w:p w14:paraId="0305B9A6" w14:textId="77777777" w:rsidR="00D16A5C" w:rsidRPr="00F419E7" w:rsidRDefault="00F419E7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（二）关键步骤</w:t>
            </w:r>
          </w:p>
          <w:p w14:paraId="0DAFB6A7" w14:textId="77777777" w:rsidR="00D16A5C" w:rsidRPr="00F419E7" w:rsidRDefault="00D16A5C" w:rsidP="00D16A5C">
            <w:pPr>
              <w:pStyle w:val="Default"/>
              <w:spacing w:line="360" w:lineRule="auto"/>
              <w:ind w:firstLineChars="200" w:firstLine="480"/>
              <w:rPr>
                <w:rFonts w:asciiTheme="minorEastAsia" w:eastAsiaTheme="minorEastAsia" w:hAnsiTheme="minorEastAsia" w:cs="Times New Roman"/>
                <w:bCs/>
                <w:color w:val="auto"/>
                <w:kern w:val="2"/>
                <w:szCs w:val="20"/>
              </w:rPr>
            </w:pPr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1、关注《读杜诗说》与《杜诗详注》</w:t>
            </w:r>
            <w:proofErr w:type="gramStart"/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两本注书的</w:t>
            </w:r>
            <w:proofErr w:type="gramEnd"/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基本情况，比较施鸿保与仇兆鳌两</w:t>
            </w:r>
            <w:proofErr w:type="gramStart"/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人注杜</w:t>
            </w:r>
            <w:proofErr w:type="gramEnd"/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的贡献与不足，分析两人注疏过程中产生分歧的原因；</w:t>
            </w:r>
          </w:p>
          <w:p w14:paraId="28FED1A1" w14:textId="77777777" w:rsidR="00F721B7" w:rsidRPr="00362F03" w:rsidRDefault="00D16A5C" w:rsidP="00362F03">
            <w:pPr>
              <w:pStyle w:val="Default"/>
              <w:spacing w:line="360" w:lineRule="auto"/>
              <w:ind w:firstLineChars="200" w:firstLine="480"/>
              <w:rPr>
                <w:rFonts w:asciiTheme="minorEastAsia" w:eastAsiaTheme="minorEastAsia" w:hAnsiTheme="minorEastAsia" w:cs="Times New Roman"/>
                <w:bCs/>
                <w:color w:val="auto"/>
                <w:kern w:val="2"/>
                <w:szCs w:val="20"/>
              </w:rPr>
            </w:pPr>
            <w:r w:rsidRPr="00F419E7">
              <w:rPr>
                <w:rFonts w:asciiTheme="minorEastAsia" w:eastAsiaTheme="minorEastAsia" w:hAnsiTheme="minorEastAsia" w:cs="Times New Roman" w:hint="eastAsia"/>
                <w:bCs/>
                <w:color w:val="auto"/>
                <w:kern w:val="2"/>
                <w:szCs w:val="20"/>
              </w:rPr>
              <w:t>2、在对两本读者之书进行比较阅读的过程中，运用读者反应批评理论对其进行分析，关注阅读过程和读者意识，讨论中国古代诗歌笺注传统中读者与文本、其他读者、作者之间的关系。</w:t>
            </w:r>
          </w:p>
          <w:p w14:paraId="52BCD75E" w14:textId="77777777" w:rsidR="00F419E7" w:rsidRPr="00D16A5C" w:rsidRDefault="00F419E7">
            <w:pPr>
              <w:rPr>
                <w:b/>
                <w:sz w:val="28"/>
                <w:szCs w:val="28"/>
              </w:rPr>
            </w:pPr>
          </w:p>
        </w:tc>
      </w:tr>
      <w:tr w:rsidR="00F721B7" w14:paraId="6454A50D" w14:textId="77777777">
        <w:trPr>
          <w:gridAfter w:val="1"/>
          <w:wAfter w:w="26" w:type="dxa"/>
          <w:trHeight w:val="521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3E05171E" w14:textId="77777777" w:rsidR="00F721B7" w:rsidRDefault="000D4D2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lastRenderedPageBreak/>
              <w:t>四、</w:t>
            </w:r>
            <w:r>
              <w:rPr>
                <w:b/>
                <w:bCs/>
                <w:sz w:val="24"/>
              </w:rPr>
              <w:t>研究的总体安排与进度</w:t>
            </w:r>
          </w:p>
        </w:tc>
      </w:tr>
      <w:tr w:rsidR="00F721B7" w14:paraId="457D31E7" w14:textId="77777777">
        <w:trPr>
          <w:gridAfter w:val="1"/>
          <w:wAfter w:w="26" w:type="dxa"/>
          <w:trHeight w:val="4436"/>
        </w:trPr>
        <w:tc>
          <w:tcPr>
            <w:tcW w:w="9735" w:type="dxa"/>
            <w:gridSpan w:val="19"/>
            <w:tcBorders>
              <w:top w:val="dotted" w:sz="4" w:space="0" w:color="auto"/>
            </w:tcBorders>
          </w:tcPr>
          <w:p w14:paraId="1E4CC4AF" w14:textId="77777777" w:rsidR="00D16A5C" w:rsidRPr="00F419E7" w:rsidRDefault="00D16A5C" w:rsidP="00D16A5C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</w:p>
          <w:p w14:paraId="022222B4" w14:textId="77777777" w:rsidR="00D16A5C" w:rsidRPr="00C93216" w:rsidRDefault="00D16A5C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（一）前期准备</w:t>
            </w:r>
            <w:r w:rsidR="00F419E7"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（2017.01-2017.02）</w:t>
            </w:r>
          </w:p>
          <w:p w14:paraId="7299FE8C" w14:textId="77777777" w:rsidR="00D16A5C" w:rsidRPr="00F419E7" w:rsidRDefault="00F419E7" w:rsidP="00D16A5C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</w:rPr>
              <w:t xml:space="preserve">      </w:t>
            </w:r>
            <w:r w:rsidR="00D16A5C" w:rsidRPr="00F419E7">
              <w:rPr>
                <w:rFonts w:asciiTheme="minorEastAsia" w:hAnsiTheme="minorEastAsia" w:cs="Times New Roman" w:hint="eastAsia"/>
                <w:bCs/>
                <w:sz w:val="24"/>
              </w:rPr>
              <w:t>收集资料，进行基本的文献调查，拟定研究的基本内容；</w:t>
            </w:r>
          </w:p>
          <w:p w14:paraId="18C732AE" w14:textId="77777777" w:rsidR="00D16A5C" w:rsidRPr="00F419E7" w:rsidRDefault="00D16A5C" w:rsidP="00D16A5C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  <w:r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（二）第一阶段的研究</w:t>
            </w:r>
            <w:r w:rsidR="00F419E7"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（2017.03）</w:t>
            </w:r>
          </w:p>
          <w:p w14:paraId="2CF00452" w14:textId="77777777" w:rsidR="00D16A5C" w:rsidRPr="00F419E7" w:rsidRDefault="00F419E7" w:rsidP="00D16A5C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</w:rPr>
              <w:t xml:space="preserve">      </w:t>
            </w:r>
            <w:r w:rsidR="00D16A5C" w:rsidRPr="00F419E7">
              <w:rPr>
                <w:rFonts w:asciiTheme="minorEastAsia" w:hAnsiTheme="minorEastAsia" w:cs="Times New Roman" w:hint="eastAsia"/>
                <w:bCs/>
                <w:sz w:val="24"/>
              </w:rPr>
              <w:t>全面考察《读杜诗说》，将《读杜诗说》和《杜诗详注》进行比较阅读，梳理不同注者在注疏体例、编辑体例和注疏原则等方面的异同，分析不同注者的注疏特点，探索杜诗的基本特点，体会杜诗在文学史上的价值和地位；</w:t>
            </w:r>
          </w:p>
          <w:p w14:paraId="0EE27FBB" w14:textId="77777777" w:rsidR="00D16A5C" w:rsidRPr="00C93216" w:rsidRDefault="00D16A5C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（三）第二阶段研究</w:t>
            </w:r>
            <w:r w:rsidR="00F419E7"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（2017.04）</w:t>
            </w:r>
          </w:p>
          <w:p w14:paraId="224AD66B" w14:textId="77777777" w:rsidR="00D16A5C" w:rsidRPr="00F419E7" w:rsidRDefault="00D16A5C" w:rsidP="00D16A5C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 xml:space="preserve">      以读者反应批评为理论工具进一步开展研究，在比较阅读研究的基础之上，从两者的异同出发以小见大，以西方文学批评的视角审视中国古代诗歌笺注的传统，以期有所感悟与发现；</w:t>
            </w:r>
          </w:p>
          <w:p w14:paraId="2C10842A" w14:textId="77777777" w:rsidR="00D16A5C" w:rsidRPr="00C93216" w:rsidRDefault="00D16A5C" w:rsidP="00D16A5C">
            <w:pPr>
              <w:spacing w:line="360" w:lineRule="auto"/>
              <w:rPr>
                <w:rFonts w:asciiTheme="minorEastAsia" w:hAnsiTheme="minorEastAsia" w:cs="Times New Roman"/>
                <w:b/>
                <w:bCs/>
                <w:sz w:val="24"/>
              </w:rPr>
            </w:pPr>
            <w:r w:rsidRPr="00C93216">
              <w:rPr>
                <w:rFonts w:asciiTheme="minorEastAsia" w:hAnsiTheme="minorEastAsia" w:cs="Times New Roman" w:hint="eastAsia"/>
                <w:b/>
                <w:bCs/>
                <w:sz w:val="24"/>
              </w:rPr>
              <w:t>（四）论文收束与投稿：</w:t>
            </w:r>
          </w:p>
          <w:p w14:paraId="10AB0911" w14:textId="77777777" w:rsidR="00F721B7" w:rsidRDefault="00D16A5C" w:rsidP="00F419E7">
            <w:pPr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 xml:space="preserve">      进行论文的校正和修改，准备结题报告与答辩。</w:t>
            </w:r>
          </w:p>
          <w:p w14:paraId="0C87816F" w14:textId="77777777" w:rsidR="00F419E7" w:rsidRDefault="00F419E7" w:rsidP="00F419E7">
            <w:pPr>
              <w:rPr>
                <w:b/>
                <w:sz w:val="28"/>
                <w:szCs w:val="28"/>
              </w:rPr>
            </w:pPr>
          </w:p>
        </w:tc>
      </w:tr>
      <w:tr w:rsidR="00F721B7" w14:paraId="1048D225" w14:textId="77777777">
        <w:trPr>
          <w:gridAfter w:val="1"/>
          <w:wAfter w:w="26" w:type="dxa"/>
          <w:trHeight w:val="431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6EF035B2" w14:textId="77777777" w:rsidR="00F721B7" w:rsidRDefault="000D4D2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五、参考文献</w:t>
            </w:r>
          </w:p>
        </w:tc>
      </w:tr>
      <w:tr w:rsidR="00F721B7" w14:paraId="443486DD" w14:textId="77777777">
        <w:trPr>
          <w:trHeight w:val="4551"/>
        </w:trPr>
        <w:tc>
          <w:tcPr>
            <w:tcW w:w="9761" w:type="dxa"/>
            <w:gridSpan w:val="20"/>
          </w:tcPr>
          <w:p w14:paraId="54B29F3F" w14:textId="77777777" w:rsidR="00F419E7" w:rsidRDefault="00F419E7" w:rsidP="00F419E7">
            <w:pPr>
              <w:tabs>
                <w:tab w:val="left" w:pos="972"/>
              </w:tabs>
              <w:spacing w:line="360" w:lineRule="auto"/>
              <w:rPr>
                <w:rFonts w:ascii="仿宋_GB2312" w:eastAsia="仿宋_GB2312" w:hAnsi="Calibri" w:cs="Times New Roman"/>
                <w:b/>
                <w:bCs/>
                <w:sz w:val="24"/>
              </w:rPr>
            </w:pPr>
          </w:p>
          <w:p w14:paraId="63940A81" w14:textId="77777777" w:rsidR="00D16A5C" w:rsidRPr="00F419E7" w:rsidRDefault="00D16A5C" w:rsidP="00F419E7">
            <w:pPr>
              <w:tabs>
                <w:tab w:val="left" w:pos="972"/>
              </w:tabs>
              <w:spacing w:line="360" w:lineRule="auto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主要包括以下六大类书籍、文献资料：</w:t>
            </w:r>
          </w:p>
          <w:p w14:paraId="4163CFCE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1、不同版本的杜甫诗集，如：《杜诗全集》、《杜诗全集校注》等；</w:t>
            </w:r>
          </w:p>
          <w:p w14:paraId="2D27DC9E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2、古人对杜诗的不同注本，如：《读杜诗说》、《杜诗详注》、《读杜心解》、《杜诗镜铨》、《钱注杜诗》、《杜诗说》等；</w:t>
            </w:r>
          </w:p>
          <w:p w14:paraId="6D475783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3、诗歌研究与诗歌史方面的著作，如：《中国诗歌艺术研究》、《中国诗学通论》、《古典诗歌论丛》、《被开拓的诗世界》、《杜甫评传》、《唐宋诗歌论集》、《唐宋诗文鉴赏举隅》等；</w:t>
            </w:r>
          </w:p>
          <w:p w14:paraId="64F52CAE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4、读者反应批评理论的著作，如：《读者反应批评》、《读者反应理论》、《西方文论经典》等；</w:t>
            </w:r>
          </w:p>
          <w:p w14:paraId="2CC00539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5、中国古代文论篇目与著作，如：《文心雕龙》等；</w:t>
            </w:r>
          </w:p>
          <w:p w14:paraId="5D9538C4" w14:textId="77777777" w:rsidR="00D16A5C" w:rsidRPr="00F419E7" w:rsidRDefault="00D16A5C" w:rsidP="00D16A5C">
            <w:pPr>
              <w:tabs>
                <w:tab w:val="left" w:pos="972"/>
              </w:tabs>
              <w:spacing w:line="360" w:lineRule="auto"/>
              <w:ind w:firstLineChars="200" w:firstLine="480"/>
              <w:rPr>
                <w:rFonts w:asciiTheme="minorEastAsia" w:hAnsiTheme="minorEastAsia" w:cs="Times New Roman"/>
                <w:bCs/>
                <w:sz w:val="24"/>
              </w:rPr>
            </w:pPr>
            <w:r w:rsidRPr="00F419E7">
              <w:rPr>
                <w:rFonts w:asciiTheme="minorEastAsia" w:hAnsiTheme="minorEastAsia" w:cs="Times New Roman" w:hint="eastAsia"/>
                <w:bCs/>
                <w:sz w:val="24"/>
              </w:rPr>
              <w:t>6、其他书籍、文献、报纸、期刊等相关研究资料。</w:t>
            </w:r>
          </w:p>
          <w:p w14:paraId="40AFA7F8" w14:textId="77777777" w:rsidR="00F721B7" w:rsidRPr="00D16A5C" w:rsidRDefault="00F721B7">
            <w:pPr>
              <w:rPr>
                <w:b/>
                <w:sz w:val="28"/>
                <w:szCs w:val="28"/>
              </w:rPr>
            </w:pPr>
          </w:p>
          <w:p w14:paraId="2DCBBD18" w14:textId="77777777" w:rsidR="00F721B7" w:rsidRDefault="00F721B7">
            <w:pPr>
              <w:rPr>
                <w:b/>
                <w:sz w:val="28"/>
                <w:szCs w:val="28"/>
              </w:rPr>
            </w:pPr>
          </w:p>
          <w:p w14:paraId="7C22200D" w14:textId="77777777" w:rsidR="00F721B7" w:rsidRDefault="00F721B7">
            <w:pPr>
              <w:rPr>
                <w:b/>
                <w:sz w:val="28"/>
                <w:szCs w:val="28"/>
              </w:rPr>
            </w:pPr>
          </w:p>
        </w:tc>
      </w:tr>
      <w:tr w:rsidR="00F721B7" w14:paraId="2CF5A138" w14:textId="77777777" w:rsidTr="002A583E">
        <w:trPr>
          <w:gridAfter w:val="1"/>
          <w:wAfter w:w="26" w:type="dxa"/>
          <w:trHeight w:val="843"/>
        </w:trPr>
        <w:tc>
          <w:tcPr>
            <w:tcW w:w="1622" w:type="dxa"/>
            <w:gridSpan w:val="2"/>
            <w:vMerge w:val="restart"/>
            <w:vAlign w:val="center"/>
          </w:tcPr>
          <w:p w14:paraId="2E2694BE" w14:textId="77777777" w:rsidR="00F721B7" w:rsidRDefault="000D4D2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lastRenderedPageBreak/>
              <w:t>论文题目</w:t>
            </w:r>
          </w:p>
        </w:tc>
        <w:tc>
          <w:tcPr>
            <w:tcW w:w="3313" w:type="dxa"/>
            <w:gridSpan w:val="6"/>
            <w:vMerge w:val="restart"/>
          </w:tcPr>
          <w:p w14:paraId="1925094E" w14:textId="77777777" w:rsidR="00F721B7" w:rsidRDefault="00C05C8E" w:rsidP="00C05C8E">
            <w:pPr>
              <w:spacing w:before="240" w:line="360" w:lineRule="auto"/>
              <w:jc w:val="lef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  <w:r w:rsidRPr="00D16A5C">
              <w:rPr>
                <w:rFonts w:hint="eastAsia"/>
                <w:sz w:val="24"/>
              </w:rPr>
              <w:t>施鸿保对《杜诗详注》的</w:t>
            </w:r>
            <w:r>
              <w:rPr>
                <w:rFonts w:hint="eastAsia"/>
                <w:sz w:val="24"/>
              </w:rPr>
              <w:t>辨析与纠误——以读者反应批评为</w:t>
            </w:r>
            <w:r>
              <w:rPr>
                <w:rFonts w:ascii="Damascus" w:hAnsi="Damascus" w:cs="Damascus" w:hint="eastAsia"/>
                <w:sz w:val="24"/>
              </w:rPr>
              <w:t>理论工具</w:t>
            </w:r>
          </w:p>
        </w:tc>
        <w:tc>
          <w:tcPr>
            <w:tcW w:w="2460" w:type="dxa"/>
            <w:gridSpan w:val="5"/>
            <w:vAlign w:val="center"/>
          </w:tcPr>
          <w:p w14:paraId="3CE2A55E" w14:textId="77777777" w:rsidR="00F721B7" w:rsidRDefault="00F419E7" w:rsidP="00F419E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中国语言文学系</w:t>
            </w:r>
          </w:p>
        </w:tc>
        <w:tc>
          <w:tcPr>
            <w:tcW w:w="2340" w:type="dxa"/>
            <w:gridSpan w:val="6"/>
            <w:vAlign w:val="center"/>
          </w:tcPr>
          <w:p w14:paraId="5DEECB2F" w14:textId="77777777" w:rsidR="00F721B7" w:rsidRDefault="00F419E7" w:rsidP="00F419E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汉语言文学</w:t>
            </w:r>
            <w:r w:rsidR="000D4D29">
              <w:rPr>
                <w:rFonts w:ascii="宋体" w:eastAsia="宋体" w:hAnsi="宋体" w:cs="宋体" w:hint="eastAsia"/>
                <w:bCs/>
                <w:sz w:val="24"/>
              </w:rPr>
              <w:t>专业</w:t>
            </w:r>
          </w:p>
        </w:tc>
      </w:tr>
      <w:tr w:rsidR="00F721B7" w14:paraId="3877845F" w14:textId="77777777" w:rsidTr="002A583E">
        <w:trPr>
          <w:gridAfter w:val="1"/>
          <w:wAfter w:w="26" w:type="dxa"/>
          <w:trHeight w:val="700"/>
        </w:trPr>
        <w:tc>
          <w:tcPr>
            <w:tcW w:w="1622" w:type="dxa"/>
            <w:gridSpan w:val="2"/>
            <w:vMerge/>
          </w:tcPr>
          <w:p w14:paraId="66369E55" w14:textId="77777777" w:rsidR="00F721B7" w:rsidRDefault="00F721B7">
            <w:pPr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3313" w:type="dxa"/>
            <w:gridSpan w:val="6"/>
            <w:vMerge/>
          </w:tcPr>
          <w:p w14:paraId="58651D89" w14:textId="77777777" w:rsidR="00F721B7" w:rsidRDefault="00F721B7">
            <w:pPr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A2AF7DF" w14:textId="77777777" w:rsidR="00F721B7" w:rsidRDefault="000D4D29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学生姓名</w:t>
            </w:r>
          </w:p>
        </w:tc>
        <w:tc>
          <w:tcPr>
            <w:tcW w:w="1260" w:type="dxa"/>
            <w:gridSpan w:val="3"/>
            <w:vAlign w:val="center"/>
          </w:tcPr>
          <w:p w14:paraId="1D73FD75" w14:textId="640B6973" w:rsidR="00F721B7" w:rsidRDefault="00F721B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05CF2402" w14:textId="77777777" w:rsidR="00F721B7" w:rsidRDefault="000D4D29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学号</w:t>
            </w:r>
          </w:p>
        </w:tc>
        <w:tc>
          <w:tcPr>
            <w:tcW w:w="1635" w:type="dxa"/>
            <w:gridSpan w:val="4"/>
            <w:vAlign w:val="center"/>
          </w:tcPr>
          <w:p w14:paraId="76A52489" w14:textId="22533719" w:rsidR="00F721B7" w:rsidRDefault="00F721B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</w:tr>
      <w:tr w:rsidR="00F721B7" w14:paraId="05078CD3" w14:textId="77777777">
        <w:trPr>
          <w:gridAfter w:val="1"/>
          <w:wAfter w:w="26" w:type="dxa"/>
          <w:trHeight w:val="516"/>
        </w:trPr>
        <w:tc>
          <w:tcPr>
            <w:tcW w:w="9735" w:type="dxa"/>
            <w:gridSpan w:val="19"/>
            <w:tcBorders>
              <w:bottom w:val="dotted" w:sz="4" w:space="0" w:color="auto"/>
            </w:tcBorders>
            <w:vAlign w:val="center"/>
          </w:tcPr>
          <w:p w14:paraId="5C1DF9DD" w14:textId="77777777" w:rsidR="00F721B7" w:rsidRDefault="000D4D2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六、指导教师意见</w:t>
            </w:r>
          </w:p>
        </w:tc>
      </w:tr>
      <w:tr w:rsidR="00F721B7" w14:paraId="0572D2C1" w14:textId="77777777" w:rsidTr="002A583E">
        <w:trPr>
          <w:gridAfter w:val="1"/>
          <w:wAfter w:w="26" w:type="dxa"/>
          <w:trHeight w:val="4885"/>
        </w:trPr>
        <w:tc>
          <w:tcPr>
            <w:tcW w:w="9735" w:type="dxa"/>
            <w:gridSpan w:val="19"/>
            <w:tcBorders>
              <w:top w:val="dotted" w:sz="4" w:space="0" w:color="auto"/>
              <w:bottom w:val="dotted" w:sz="4" w:space="0" w:color="auto"/>
            </w:tcBorders>
          </w:tcPr>
          <w:p w14:paraId="0DB21F98" w14:textId="77777777" w:rsidR="00F721B7" w:rsidRDefault="00F721B7">
            <w:pPr>
              <w:rPr>
                <w:b/>
                <w:sz w:val="28"/>
                <w:szCs w:val="28"/>
              </w:rPr>
            </w:pPr>
          </w:p>
        </w:tc>
      </w:tr>
      <w:tr w:rsidR="00F721B7" w14:paraId="6A1C7EA2" w14:textId="77777777">
        <w:trPr>
          <w:gridAfter w:val="1"/>
          <w:wAfter w:w="26" w:type="dxa"/>
          <w:trHeight w:val="481"/>
        </w:trPr>
        <w:tc>
          <w:tcPr>
            <w:tcW w:w="3675" w:type="dxa"/>
            <w:gridSpan w:val="5"/>
            <w:tcBorders>
              <w:top w:val="dotted" w:sz="4" w:space="0" w:color="auto"/>
              <w:right w:val="dotted" w:sz="4" w:space="0" w:color="auto"/>
            </w:tcBorders>
          </w:tcPr>
          <w:p w14:paraId="210BE2FF" w14:textId="77777777" w:rsidR="00F721B7" w:rsidRDefault="000D4D29">
            <w:pPr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01022E8" w14:textId="77777777" w:rsidR="00F721B7" w:rsidRDefault="000D4D29">
            <w:pPr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签字：</w:t>
            </w:r>
          </w:p>
        </w:tc>
        <w:tc>
          <w:tcPr>
            <w:tcW w:w="1635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618090D" w14:textId="77777777" w:rsidR="00F721B7" w:rsidRDefault="00F721B7">
            <w:pPr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32031B5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51FBB81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月</w:t>
            </w:r>
          </w:p>
        </w:tc>
        <w:tc>
          <w:tcPr>
            <w:tcW w:w="105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D691A07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日</w:t>
            </w:r>
          </w:p>
        </w:tc>
        <w:tc>
          <w:tcPr>
            <w:tcW w:w="315" w:type="dxa"/>
            <w:gridSpan w:val="2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74187A66" w14:textId="77777777" w:rsidR="00F721B7" w:rsidRDefault="00F721B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</w:tr>
      <w:tr w:rsidR="00F721B7" w14:paraId="58190B55" w14:textId="77777777">
        <w:trPr>
          <w:gridAfter w:val="1"/>
          <w:wAfter w:w="26" w:type="dxa"/>
          <w:trHeight w:val="561"/>
        </w:trPr>
        <w:tc>
          <w:tcPr>
            <w:tcW w:w="9735" w:type="dxa"/>
            <w:gridSpan w:val="19"/>
            <w:vAlign w:val="center"/>
          </w:tcPr>
          <w:p w14:paraId="6232F620" w14:textId="77777777" w:rsidR="00F721B7" w:rsidRDefault="000D4D29">
            <w:pPr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七、开题答辩小组意见</w:t>
            </w:r>
          </w:p>
        </w:tc>
      </w:tr>
      <w:tr w:rsidR="00F721B7" w14:paraId="1CB18ED4" w14:textId="77777777" w:rsidTr="002A583E">
        <w:trPr>
          <w:gridAfter w:val="1"/>
          <w:wAfter w:w="26" w:type="dxa"/>
          <w:trHeight w:val="4743"/>
        </w:trPr>
        <w:tc>
          <w:tcPr>
            <w:tcW w:w="9735" w:type="dxa"/>
            <w:gridSpan w:val="19"/>
            <w:tcBorders>
              <w:bottom w:val="dotted" w:sz="4" w:space="0" w:color="auto"/>
            </w:tcBorders>
          </w:tcPr>
          <w:p w14:paraId="53D49052" w14:textId="77777777" w:rsidR="00F721B7" w:rsidRPr="002A583E" w:rsidRDefault="00F721B7">
            <w:pPr>
              <w:rPr>
                <w:rFonts w:ascii="宋体" w:eastAsia="宋体" w:hAnsi="宋体" w:cs="宋体"/>
                <w:bCs/>
                <w:sz w:val="24"/>
              </w:rPr>
            </w:pPr>
          </w:p>
        </w:tc>
      </w:tr>
      <w:tr w:rsidR="00F721B7" w14:paraId="70E72D4A" w14:textId="77777777">
        <w:trPr>
          <w:gridAfter w:val="1"/>
          <w:wAfter w:w="26" w:type="dxa"/>
          <w:trHeight w:val="431"/>
        </w:trPr>
        <w:tc>
          <w:tcPr>
            <w:tcW w:w="1695" w:type="dxa"/>
            <w:gridSpan w:val="3"/>
            <w:tcBorders>
              <w:top w:val="dotted" w:sz="4" w:space="0" w:color="auto"/>
              <w:right w:val="dotted" w:sz="4" w:space="0" w:color="auto"/>
            </w:tcBorders>
          </w:tcPr>
          <w:p w14:paraId="62C12A37" w14:textId="77777777" w:rsidR="00F721B7" w:rsidRDefault="00F721B7">
            <w:pPr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180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77D5999" w14:textId="77777777" w:rsidR="00F721B7" w:rsidRDefault="000D4D29">
            <w:pPr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小组成员签字：</w:t>
            </w:r>
          </w:p>
        </w:tc>
        <w:tc>
          <w:tcPr>
            <w:tcW w:w="2640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EE2FF5A" w14:textId="77777777" w:rsidR="00F721B7" w:rsidRDefault="00F721B7">
            <w:pPr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56ADF16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FFD1C17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月</w:t>
            </w:r>
          </w:p>
        </w:tc>
        <w:tc>
          <w:tcPr>
            <w:tcW w:w="1065" w:type="dxa"/>
            <w:gridSpan w:val="2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C2B9B0A" w14:textId="77777777" w:rsidR="00F721B7" w:rsidRDefault="000D4D29">
            <w:pPr>
              <w:jc w:val="right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 xml:space="preserve"> 日</w:t>
            </w:r>
          </w:p>
        </w:tc>
        <w:tc>
          <w:tcPr>
            <w:tcW w:w="300" w:type="dxa"/>
            <w:tcBorders>
              <w:top w:val="dotted" w:sz="4" w:space="0" w:color="auto"/>
            </w:tcBorders>
          </w:tcPr>
          <w:p w14:paraId="7FE78BB2" w14:textId="77777777" w:rsidR="00F721B7" w:rsidRDefault="00F721B7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</w:tr>
    </w:tbl>
    <w:p w14:paraId="6FC15303" w14:textId="77777777" w:rsidR="00F721B7" w:rsidRDefault="000D4D29">
      <w:pPr>
        <w:jc w:val="center"/>
        <w:rPr>
          <w:bCs/>
          <w:sz w:val="24"/>
        </w:rPr>
      </w:pPr>
      <w:r>
        <w:rPr>
          <w:rFonts w:hint="eastAsia"/>
          <w:bCs/>
          <w:szCs w:val="21"/>
        </w:rPr>
        <w:t>教务处编制</w:t>
      </w:r>
    </w:p>
    <w:sectPr w:rsidR="00F721B7" w:rsidSect="00F721B7">
      <w:footerReference w:type="default" r:id="rId7"/>
      <w:pgSz w:w="11906" w:h="16838"/>
      <w:pgMar w:top="1417" w:right="1417" w:bottom="1134" w:left="1701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91641" w14:textId="77777777" w:rsidR="00646E5C" w:rsidRDefault="00646E5C" w:rsidP="00F721B7">
      <w:r>
        <w:separator/>
      </w:r>
    </w:p>
  </w:endnote>
  <w:endnote w:type="continuationSeparator" w:id="0">
    <w:p w14:paraId="4E322A99" w14:textId="77777777" w:rsidR="00646E5C" w:rsidRDefault="00646E5C" w:rsidP="00F72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amascus">
    <w:charset w:val="00"/>
    <w:family w:val="auto"/>
    <w:pitch w:val="variable"/>
    <w:sig w:usb0="80002003" w:usb1="88000000" w:usb2="14000008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CA10C" w14:textId="2B71BCA0" w:rsidR="00F721B7" w:rsidRDefault="009811A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AC8133" wp14:editId="11D4CAB8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770" cy="146050"/>
              <wp:effectExtent l="0" t="0" r="11430" b="635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DE57CEF" w14:textId="5A01E8AD" w:rsidR="00F721B7" w:rsidRDefault="00BC0B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0D4D29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6D6441">
                            <w:rPr>
                              <w:noProof/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C813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46.1pt;margin-top:0;width:5.1pt;height:11.5pt;z-index:251658240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" filled="f" stroked="f" strokeweight=".5pt">
              <v:path arrowok="t"/>
              <v:textbox style="mso-fit-shape-to-text:t" inset="0,0,0,0">
                <w:txbxContent>
                  <w:p w14:paraId="5DE57CEF" w14:textId="5A01E8AD" w:rsidR="00F721B7" w:rsidRDefault="00BC0B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0D4D29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6D6441">
                      <w:rPr>
                        <w:noProof/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098109" w14:textId="77777777" w:rsidR="00646E5C" w:rsidRDefault="00646E5C" w:rsidP="00F721B7">
      <w:r>
        <w:separator/>
      </w:r>
    </w:p>
  </w:footnote>
  <w:footnote w:type="continuationSeparator" w:id="0">
    <w:p w14:paraId="1AD5BE02" w14:textId="77777777" w:rsidR="00646E5C" w:rsidRDefault="00646E5C" w:rsidP="00F72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210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7E33A2"/>
    <w:rsid w:val="00030D5E"/>
    <w:rsid w:val="000D4D29"/>
    <w:rsid w:val="001603F1"/>
    <w:rsid w:val="002A583E"/>
    <w:rsid w:val="00357E79"/>
    <w:rsid w:val="00362F03"/>
    <w:rsid w:val="00646E5C"/>
    <w:rsid w:val="006D6441"/>
    <w:rsid w:val="009811A4"/>
    <w:rsid w:val="00BC0B8C"/>
    <w:rsid w:val="00C05C8E"/>
    <w:rsid w:val="00C36A5C"/>
    <w:rsid w:val="00C93216"/>
    <w:rsid w:val="00D16A5C"/>
    <w:rsid w:val="00F419E7"/>
    <w:rsid w:val="00F721B7"/>
    <w:rsid w:val="01506E55"/>
    <w:rsid w:val="01C83516"/>
    <w:rsid w:val="027B24F8"/>
    <w:rsid w:val="06222A2F"/>
    <w:rsid w:val="0A26796A"/>
    <w:rsid w:val="0C0F48A6"/>
    <w:rsid w:val="0D7E33A2"/>
    <w:rsid w:val="0E5D07D4"/>
    <w:rsid w:val="0FA80826"/>
    <w:rsid w:val="10412C75"/>
    <w:rsid w:val="11B27646"/>
    <w:rsid w:val="129D3F32"/>
    <w:rsid w:val="18BC4152"/>
    <w:rsid w:val="1AAE6695"/>
    <w:rsid w:val="21D8514C"/>
    <w:rsid w:val="21E6670A"/>
    <w:rsid w:val="266E553D"/>
    <w:rsid w:val="2A915587"/>
    <w:rsid w:val="2B301D62"/>
    <w:rsid w:val="2BF030FB"/>
    <w:rsid w:val="2FF63A01"/>
    <w:rsid w:val="34E7075E"/>
    <w:rsid w:val="366268D5"/>
    <w:rsid w:val="36A22127"/>
    <w:rsid w:val="3900278B"/>
    <w:rsid w:val="3BF430B8"/>
    <w:rsid w:val="3C8C6EE6"/>
    <w:rsid w:val="409A2A44"/>
    <w:rsid w:val="42290F88"/>
    <w:rsid w:val="45A213AA"/>
    <w:rsid w:val="48F70A54"/>
    <w:rsid w:val="4C5F48EB"/>
    <w:rsid w:val="50685B27"/>
    <w:rsid w:val="57F7722A"/>
    <w:rsid w:val="637B6AC1"/>
    <w:rsid w:val="673D7B61"/>
    <w:rsid w:val="69895E13"/>
    <w:rsid w:val="6E5A10A5"/>
    <w:rsid w:val="71F7104F"/>
    <w:rsid w:val="760E1700"/>
    <w:rsid w:val="7B9F2AC9"/>
    <w:rsid w:val="7C4A5A8E"/>
    <w:rsid w:val="7CE70C0B"/>
    <w:rsid w:val="7F28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DBEDF5"/>
  <w15:docId w15:val="{4C38DB6F-09AC-4C46-88E0-E33FC8395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721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721B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721B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F721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16A5C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qiyahui</dc:creator>
  <cp:lastModifiedBy>缪 晶晶</cp:lastModifiedBy>
  <cp:revision>3</cp:revision>
  <cp:lastPrinted>2017-02-24T18:12:00Z</cp:lastPrinted>
  <dcterms:created xsi:type="dcterms:W3CDTF">2017-11-16T03:00:00Z</dcterms:created>
  <dcterms:modified xsi:type="dcterms:W3CDTF">2021-01-04T09:34:00Z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